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B098" w14:textId="0247B34D" w:rsidR="00B25680" w:rsidRPr="00B25680" w:rsidRDefault="00B25680" w:rsidP="00B25680">
      <w:pPr>
        <w:spacing w:after="0" w:line="480" w:lineRule="auto"/>
        <w:contextualSpacing/>
        <w:rPr>
          <w:rFonts w:ascii="Times New Roman" w:hAnsi="Times New Roman" w:cs="Times New Roman"/>
          <w:color w:val="000000" w:themeColor="text1"/>
          <w:sz w:val="24"/>
          <w:szCs w:val="24"/>
        </w:rPr>
      </w:pPr>
      <w:r w:rsidRPr="00B25680">
        <w:rPr>
          <w:rFonts w:ascii="Times New Roman" w:hAnsi="Times New Roman" w:cs="Times New Roman"/>
          <w:color w:val="000000" w:themeColor="text1"/>
          <w:sz w:val="24"/>
          <w:szCs w:val="24"/>
        </w:rPr>
        <w:t>Pursuant to the authority vested in section 94 of the Executive Law, Part 9</w:t>
      </w:r>
      <w:r w:rsidR="006472DF">
        <w:rPr>
          <w:rFonts w:ascii="Times New Roman" w:hAnsi="Times New Roman" w:cs="Times New Roman"/>
          <w:color w:val="000000" w:themeColor="text1"/>
          <w:sz w:val="24"/>
          <w:szCs w:val="24"/>
        </w:rPr>
        <w:t>38</w:t>
      </w:r>
      <w:r w:rsidRPr="00B25680">
        <w:rPr>
          <w:rFonts w:ascii="Times New Roman" w:hAnsi="Times New Roman" w:cs="Times New Roman"/>
          <w:color w:val="000000" w:themeColor="text1"/>
          <w:sz w:val="24"/>
          <w:szCs w:val="24"/>
        </w:rPr>
        <w:t xml:space="preserve"> of Title 19 of the Official Compilation of Codes, Rules and Regulations of the State of New York is amended to be effective </w:t>
      </w:r>
      <w:r w:rsidR="00EF718C">
        <w:rPr>
          <w:rFonts w:ascii="Times New Roman" w:hAnsi="Times New Roman" w:cs="Times New Roman"/>
          <w:color w:val="000000" w:themeColor="text1"/>
          <w:sz w:val="24"/>
          <w:szCs w:val="24"/>
        </w:rPr>
        <w:t>January 1, 2021 after</w:t>
      </w:r>
      <w:r w:rsidRPr="00B25680">
        <w:rPr>
          <w:rFonts w:ascii="Times New Roman" w:hAnsi="Times New Roman" w:cs="Times New Roman"/>
          <w:color w:val="000000" w:themeColor="text1"/>
          <w:sz w:val="24"/>
          <w:szCs w:val="24"/>
        </w:rPr>
        <w:t xml:space="preserve"> publication of a Notice of Adoption in the New York State Register, to read as follows:</w:t>
      </w:r>
    </w:p>
    <w:p w14:paraId="05BCA9CA" w14:textId="77777777" w:rsidR="00B25680" w:rsidRPr="00B25680" w:rsidRDefault="00B25680">
      <w:pPr>
        <w:rPr>
          <w:rFonts w:ascii="Times New Roman" w:hAnsi="Times New Roman" w:cs="Times New Roman"/>
          <w:color w:val="000000" w:themeColor="text1"/>
          <w:sz w:val="24"/>
          <w:szCs w:val="24"/>
        </w:rPr>
      </w:pPr>
    </w:p>
    <w:p w14:paraId="31CA5385" w14:textId="77777777" w:rsidR="00200BBF" w:rsidRDefault="00A75B26" w:rsidP="007F01FD">
      <w:pPr>
        <w:spacing w:after="0"/>
        <w:rPr>
          <w:rFonts w:ascii="Times New Roman" w:hAnsi="Times New Roman" w:cs="Times New Roman"/>
          <w:color w:val="000000" w:themeColor="text1"/>
          <w:sz w:val="24"/>
          <w:szCs w:val="24"/>
        </w:rPr>
      </w:pPr>
      <w:r w:rsidRPr="00B25680">
        <w:rPr>
          <w:rFonts w:ascii="Times New Roman" w:hAnsi="Times New Roman" w:cs="Times New Roman"/>
          <w:color w:val="000000" w:themeColor="text1"/>
          <w:sz w:val="24"/>
          <w:szCs w:val="24"/>
        </w:rPr>
        <w:t>Paragraph (1) of subdivision (b) of section 938.2 is amended to read as follows:</w:t>
      </w:r>
    </w:p>
    <w:p w14:paraId="39F2E471" w14:textId="77777777" w:rsidR="00B25680" w:rsidRPr="00B25680" w:rsidRDefault="00B25680" w:rsidP="007F01FD">
      <w:pPr>
        <w:spacing w:after="0"/>
        <w:rPr>
          <w:rFonts w:ascii="Times New Roman" w:hAnsi="Times New Roman" w:cs="Times New Roman"/>
          <w:color w:val="000000" w:themeColor="text1"/>
          <w:sz w:val="24"/>
          <w:szCs w:val="24"/>
        </w:rPr>
      </w:pPr>
    </w:p>
    <w:p w14:paraId="363295B3" w14:textId="77777777" w:rsidR="00A75B26" w:rsidRPr="00B25680" w:rsidRDefault="00A75B26" w:rsidP="007F01FD">
      <w:pPr>
        <w:tabs>
          <w:tab w:val="left" w:pos="819"/>
        </w:tabs>
        <w:spacing w:before="217" w:after="0"/>
        <w:rPr>
          <w:rFonts w:ascii="Times New Roman" w:hAnsi="Times New Roman" w:cs="Times New Roman"/>
          <w:color w:val="000000" w:themeColor="text1"/>
          <w:sz w:val="24"/>
          <w:szCs w:val="24"/>
        </w:rPr>
      </w:pPr>
      <w:r w:rsidRPr="00B25680">
        <w:rPr>
          <w:rFonts w:ascii="Times New Roman" w:hAnsi="Times New Roman" w:cs="Times New Roman"/>
          <w:color w:val="000000" w:themeColor="text1"/>
          <w:sz w:val="24"/>
          <w:szCs w:val="24"/>
        </w:rPr>
        <w:t>(1) A Beneficial Client, as defined in section 3 of Part 943 of this Title</w:t>
      </w:r>
      <w:r w:rsidRPr="00B25680">
        <w:rPr>
          <w:rFonts w:ascii="Times New Roman" w:hAnsi="Times New Roman" w:cs="Times New Roman"/>
          <w:color w:val="000000" w:themeColor="text1"/>
          <w:sz w:val="24"/>
          <w:szCs w:val="24"/>
          <w:u w:val="single"/>
        </w:rPr>
        <w:t>, other than a Public Corporation</w:t>
      </w:r>
      <w:r w:rsidRPr="00B25680">
        <w:rPr>
          <w:rFonts w:ascii="Times New Roman" w:hAnsi="Times New Roman" w:cs="Times New Roman"/>
          <w:color w:val="000000" w:themeColor="text1"/>
          <w:sz w:val="24"/>
          <w:szCs w:val="24"/>
        </w:rPr>
        <w:t>;</w:t>
      </w:r>
      <w:r w:rsidRPr="00B25680">
        <w:rPr>
          <w:rFonts w:ascii="Times New Roman" w:hAnsi="Times New Roman" w:cs="Times New Roman"/>
          <w:color w:val="000000" w:themeColor="text1"/>
          <w:spacing w:val="-4"/>
          <w:sz w:val="24"/>
          <w:szCs w:val="24"/>
        </w:rPr>
        <w:t xml:space="preserve"> </w:t>
      </w:r>
      <w:r w:rsidRPr="00B25680">
        <w:rPr>
          <w:rFonts w:ascii="Times New Roman" w:hAnsi="Times New Roman" w:cs="Times New Roman"/>
          <w:color w:val="000000" w:themeColor="text1"/>
          <w:sz w:val="24"/>
          <w:szCs w:val="24"/>
        </w:rPr>
        <w:t>or</w:t>
      </w:r>
    </w:p>
    <w:p w14:paraId="4DA5B4EA" w14:textId="77777777" w:rsidR="00A75B26" w:rsidRDefault="00A75B26">
      <w:pPr>
        <w:rPr>
          <w:rFonts w:ascii="Times New Roman" w:hAnsi="Times New Roman" w:cs="Times New Roman"/>
          <w:color w:val="000000" w:themeColor="text1"/>
          <w:sz w:val="24"/>
          <w:szCs w:val="24"/>
        </w:rPr>
      </w:pPr>
    </w:p>
    <w:p w14:paraId="691A5A62" w14:textId="77777777" w:rsidR="007F01FD" w:rsidRPr="00B25680" w:rsidRDefault="007F01FD">
      <w:pPr>
        <w:rPr>
          <w:rFonts w:ascii="Times New Roman" w:hAnsi="Times New Roman" w:cs="Times New Roman"/>
          <w:color w:val="000000" w:themeColor="text1"/>
          <w:sz w:val="24"/>
          <w:szCs w:val="24"/>
        </w:rPr>
      </w:pPr>
    </w:p>
    <w:p w14:paraId="330A5897" w14:textId="77777777" w:rsidR="00A75B26" w:rsidRDefault="007F01FD" w:rsidP="007F01FD">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A75B26" w:rsidRPr="00B25680">
        <w:rPr>
          <w:rFonts w:ascii="Times New Roman" w:hAnsi="Times New Roman" w:cs="Times New Roman"/>
          <w:color w:val="000000" w:themeColor="text1"/>
          <w:sz w:val="24"/>
          <w:szCs w:val="24"/>
        </w:rPr>
        <w:t>ubdivision (e) of section 938.2 is amended to read as follows:</w:t>
      </w:r>
    </w:p>
    <w:p w14:paraId="2EF55D6B" w14:textId="77777777" w:rsidR="007F01FD" w:rsidRPr="00B25680" w:rsidRDefault="007F01FD" w:rsidP="007F01FD">
      <w:pPr>
        <w:spacing w:after="0"/>
        <w:rPr>
          <w:rFonts w:ascii="Times New Roman" w:hAnsi="Times New Roman" w:cs="Times New Roman"/>
          <w:color w:val="000000" w:themeColor="text1"/>
          <w:sz w:val="24"/>
          <w:szCs w:val="24"/>
        </w:rPr>
      </w:pPr>
    </w:p>
    <w:p w14:paraId="160D8D11" w14:textId="77777777" w:rsidR="00A75B26" w:rsidRPr="00B25680" w:rsidRDefault="003E5C2F" w:rsidP="007F01FD">
      <w:pPr>
        <w:tabs>
          <w:tab w:val="left" w:pos="519"/>
        </w:tabs>
        <w:spacing w:before="217" w:after="0" w:line="480" w:lineRule="auto"/>
        <w:ind w:right="117"/>
        <w:rPr>
          <w:rFonts w:ascii="Times New Roman" w:hAnsi="Times New Roman" w:cs="Times New Roman"/>
          <w:color w:val="000000" w:themeColor="text1"/>
          <w:sz w:val="24"/>
          <w:szCs w:val="24"/>
        </w:rPr>
      </w:pPr>
      <w:r w:rsidRPr="00B25680">
        <w:rPr>
          <w:rFonts w:ascii="Times New Roman" w:hAnsi="Times New Roman" w:cs="Times New Roman"/>
          <w:iCs/>
          <w:color w:val="000000" w:themeColor="text1"/>
          <w:sz w:val="24"/>
          <w:szCs w:val="24"/>
        </w:rPr>
        <w:t xml:space="preserve">(e) </w:t>
      </w:r>
      <w:r w:rsidR="00A75B26" w:rsidRPr="00B25680">
        <w:rPr>
          <w:rFonts w:ascii="Times New Roman" w:hAnsi="Times New Roman" w:cs="Times New Roman"/>
          <w:i/>
          <w:color w:val="000000" w:themeColor="text1"/>
          <w:sz w:val="24"/>
          <w:szCs w:val="24"/>
        </w:rPr>
        <w:t>Contribution</w:t>
      </w:r>
      <w:r w:rsidR="00A75B26" w:rsidRPr="00B25680">
        <w:rPr>
          <w:rFonts w:ascii="Times New Roman" w:hAnsi="Times New Roman" w:cs="Times New Roman"/>
          <w:iCs/>
          <w:color w:val="000000" w:themeColor="text1"/>
          <w:sz w:val="24"/>
          <w:szCs w:val="24"/>
        </w:rPr>
        <w:t xml:space="preserve"> shall mean any payment to, or for the benefit of, the Client Filer and which is intended to fund, in whole or in part, the Client Filer’s activities or operations. Contribution</w:t>
      </w:r>
      <w:r w:rsidR="00A75B26" w:rsidRPr="00B25680">
        <w:rPr>
          <w:rFonts w:ascii="Times New Roman" w:hAnsi="Times New Roman" w:cs="Times New Roman"/>
          <w:iCs/>
          <w:color w:val="000000" w:themeColor="text1"/>
          <w:spacing w:val="-37"/>
          <w:sz w:val="24"/>
          <w:szCs w:val="24"/>
        </w:rPr>
        <w:t xml:space="preserve"> </w:t>
      </w:r>
      <w:r w:rsidR="00A75B26" w:rsidRPr="00B25680">
        <w:rPr>
          <w:rFonts w:ascii="Times New Roman" w:hAnsi="Times New Roman" w:cs="Times New Roman"/>
          <w:iCs/>
          <w:color w:val="000000" w:themeColor="text1"/>
          <w:sz w:val="24"/>
          <w:szCs w:val="24"/>
        </w:rPr>
        <w:t>shall include equity investments in limited liability companies, general partnerships, and corporations; provided, however, Contribution shall not include</w:t>
      </w:r>
      <w:r w:rsidR="00A75B26" w:rsidRPr="00B25680">
        <w:rPr>
          <w:rFonts w:ascii="Times New Roman" w:hAnsi="Times New Roman" w:cs="Times New Roman"/>
          <w:color w:val="000000" w:themeColor="text1"/>
          <w:sz w:val="24"/>
          <w:szCs w:val="24"/>
        </w:rPr>
        <w:t xml:space="preserve"> publicly traded stocks or shares. Contribution shall not mean: </w:t>
      </w:r>
      <w:r w:rsidR="00A75B26" w:rsidRPr="00B25680">
        <w:rPr>
          <w:rFonts w:ascii="Times New Roman" w:hAnsi="Times New Roman" w:cs="Times New Roman"/>
          <w:color w:val="000000" w:themeColor="text1"/>
          <w:sz w:val="24"/>
          <w:szCs w:val="24"/>
          <w:u w:val="single"/>
        </w:rPr>
        <w:t>(</w:t>
      </w:r>
      <w:proofErr w:type="spellStart"/>
      <w:r w:rsidR="00A75B26" w:rsidRPr="00B25680">
        <w:rPr>
          <w:rFonts w:ascii="Times New Roman" w:hAnsi="Times New Roman" w:cs="Times New Roman"/>
          <w:color w:val="000000" w:themeColor="text1"/>
          <w:sz w:val="24"/>
          <w:szCs w:val="24"/>
          <w:u w:val="single"/>
        </w:rPr>
        <w:t>i</w:t>
      </w:r>
      <w:proofErr w:type="spellEnd"/>
      <w:r w:rsidR="00A75B26" w:rsidRPr="00B25680">
        <w:rPr>
          <w:rFonts w:ascii="Times New Roman" w:hAnsi="Times New Roman" w:cs="Times New Roman"/>
          <w:color w:val="000000" w:themeColor="text1"/>
          <w:sz w:val="24"/>
          <w:szCs w:val="24"/>
          <w:u w:val="single"/>
        </w:rPr>
        <w:t>)</w:t>
      </w:r>
      <w:r w:rsidR="00A75B26" w:rsidRPr="00EF718C">
        <w:rPr>
          <w:rFonts w:ascii="Times New Roman" w:hAnsi="Times New Roman" w:cs="Times New Roman"/>
          <w:color w:val="000000" w:themeColor="text1"/>
          <w:sz w:val="24"/>
          <w:szCs w:val="24"/>
        </w:rPr>
        <w:t xml:space="preserve"> </w:t>
      </w:r>
      <w:r w:rsidR="00A75B26" w:rsidRPr="00B25680">
        <w:rPr>
          <w:rFonts w:ascii="Times New Roman" w:hAnsi="Times New Roman" w:cs="Times New Roman"/>
          <w:color w:val="000000" w:themeColor="text1"/>
          <w:sz w:val="24"/>
          <w:szCs w:val="24"/>
        </w:rPr>
        <w:t>a payment in exchange for goods or services rendered or delivered directly to the individual or entity making the</w:t>
      </w:r>
      <w:r w:rsidR="00A75B26" w:rsidRPr="00B25680">
        <w:rPr>
          <w:rFonts w:ascii="Times New Roman" w:hAnsi="Times New Roman" w:cs="Times New Roman"/>
          <w:color w:val="000000" w:themeColor="text1"/>
          <w:spacing w:val="-11"/>
          <w:sz w:val="24"/>
          <w:szCs w:val="24"/>
        </w:rPr>
        <w:t xml:space="preserve"> </w:t>
      </w:r>
      <w:r w:rsidR="00A75B26" w:rsidRPr="00B25680">
        <w:rPr>
          <w:rFonts w:ascii="Times New Roman" w:hAnsi="Times New Roman" w:cs="Times New Roman"/>
          <w:color w:val="000000" w:themeColor="text1"/>
          <w:sz w:val="24"/>
          <w:szCs w:val="24"/>
        </w:rPr>
        <w:t>payment</w:t>
      </w:r>
      <w:r w:rsidR="00A75B26" w:rsidRPr="00B25680">
        <w:rPr>
          <w:rFonts w:ascii="Times New Roman" w:hAnsi="Times New Roman" w:cs="Times New Roman"/>
          <w:color w:val="000000" w:themeColor="text1"/>
          <w:sz w:val="24"/>
          <w:szCs w:val="24"/>
          <w:u w:val="single"/>
        </w:rPr>
        <w:t>; and (ii) a payment that: (a) is earmarked and conditioned by the payor such that it may only be used for a specific purpose other than lobbying activity in New York; and (b) is maintained in a segregated bank account solely for the specific purpose and unavailable for general operating expenses. For example, an organization that maintains a separate segregated bank account for a lobbying initiative in California need not report a payment earmarked by the payor for this initiative, provided however, that funds from this account may not be used for operating expenses or any other reason other than the California initiative</w:t>
      </w:r>
      <w:r w:rsidR="00A75B26" w:rsidRPr="00B25680">
        <w:rPr>
          <w:rFonts w:ascii="Times New Roman" w:hAnsi="Times New Roman" w:cs="Times New Roman"/>
          <w:color w:val="000000" w:themeColor="text1"/>
          <w:sz w:val="24"/>
          <w:szCs w:val="24"/>
        </w:rPr>
        <w:t>.</w:t>
      </w:r>
    </w:p>
    <w:p w14:paraId="20E98BAF" w14:textId="77777777" w:rsidR="00A75B26" w:rsidRPr="00B25680" w:rsidRDefault="003E5C2F" w:rsidP="003E5C2F">
      <w:pPr>
        <w:tabs>
          <w:tab w:val="left" w:pos="519"/>
        </w:tabs>
        <w:spacing w:before="217" w:line="480" w:lineRule="auto"/>
        <w:ind w:right="117"/>
        <w:rPr>
          <w:rFonts w:ascii="Times New Roman" w:hAnsi="Times New Roman" w:cs="Times New Roman"/>
          <w:color w:val="000000" w:themeColor="text1"/>
          <w:sz w:val="24"/>
          <w:szCs w:val="24"/>
          <w:u w:val="single"/>
        </w:rPr>
      </w:pPr>
      <w:r w:rsidRPr="00B25680">
        <w:rPr>
          <w:rFonts w:ascii="Times New Roman" w:hAnsi="Times New Roman" w:cs="Times New Roman"/>
          <w:color w:val="000000" w:themeColor="text1"/>
          <w:sz w:val="24"/>
          <w:szCs w:val="24"/>
        </w:rPr>
        <w:lastRenderedPageBreak/>
        <w:tab/>
      </w:r>
      <w:r w:rsidRPr="00B25680">
        <w:rPr>
          <w:rFonts w:ascii="Times New Roman" w:hAnsi="Times New Roman" w:cs="Times New Roman"/>
          <w:color w:val="000000" w:themeColor="text1"/>
          <w:sz w:val="24"/>
          <w:szCs w:val="24"/>
          <w:u w:val="single"/>
        </w:rPr>
        <w:t xml:space="preserve">(1) </w:t>
      </w:r>
      <w:r w:rsidR="00A75B26" w:rsidRPr="00B25680">
        <w:rPr>
          <w:rFonts w:ascii="Times New Roman" w:hAnsi="Times New Roman" w:cs="Times New Roman"/>
          <w:color w:val="000000" w:themeColor="text1"/>
          <w:sz w:val="24"/>
          <w:szCs w:val="24"/>
          <w:u w:val="single"/>
        </w:rPr>
        <w:t>Records of such payments must be retained for a period of three years and may be requested by the Commission to verify qualification for this exclusion.</w:t>
      </w:r>
    </w:p>
    <w:p w14:paraId="3AA08F7E" w14:textId="77777777" w:rsidR="00A75B26" w:rsidRPr="00B25680" w:rsidRDefault="003E5C2F" w:rsidP="003E5C2F">
      <w:pPr>
        <w:tabs>
          <w:tab w:val="left" w:pos="519"/>
        </w:tabs>
        <w:spacing w:before="217" w:line="480" w:lineRule="auto"/>
        <w:ind w:right="117"/>
        <w:rPr>
          <w:rFonts w:ascii="Times New Roman" w:hAnsi="Times New Roman" w:cs="Times New Roman"/>
          <w:color w:val="000000" w:themeColor="text1"/>
          <w:sz w:val="24"/>
          <w:szCs w:val="24"/>
          <w:u w:val="single"/>
        </w:rPr>
      </w:pPr>
      <w:r w:rsidRPr="00B25680">
        <w:rPr>
          <w:rFonts w:ascii="Times New Roman" w:hAnsi="Times New Roman" w:cs="Times New Roman"/>
          <w:color w:val="000000" w:themeColor="text1"/>
          <w:sz w:val="24"/>
          <w:szCs w:val="24"/>
        </w:rPr>
        <w:tab/>
      </w:r>
      <w:r w:rsidRPr="00B25680">
        <w:rPr>
          <w:rFonts w:ascii="Times New Roman" w:hAnsi="Times New Roman" w:cs="Times New Roman"/>
          <w:color w:val="000000" w:themeColor="text1"/>
          <w:sz w:val="24"/>
          <w:szCs w:val="24"/>
          <w:u w:val="single"/>
        </w:rPr>
        <w:t xml:space="preserve">(2) </w:t>
      </w:r>
      <w:r w:rsidR="00A75B26" w:rsidRPr="00B25680">
        <w:rPr>
          <w:rFonts w:ascii="Times New Roman" w:hAnsi="Times New Roman" w:cs="Times New Roman"/>
          <w:color w:val="000000" w:themeColor="text1"/>
          <w:sz w:val="24"/>
          <w:szCs w:val="24"/>
          <w:u w:val="single"/>
        </w:rPr>
        <w:t xml:space="preserve">To qualify for the exclusion in subparagraph (ii) above, it is not sufficient for a payor to restrict a payment from being used for lobbying in New York; the payor must earmark the payment for the specific purpose stated in (ii)(a).  </w:t>
      </w:r>
    </w:p>
    <w:p w14:paraId="3CADA339" w14:textId="77777777" w:rsidR="003E5C2F" w:rsidRPr="00B25680" w:rsidRDefault="003E5C2F" w:rsidP="003E5C2F">
      <w:pPr>
        <w:rPr>
          <w:rFonts w:ascii="Times New Roman" w:hAnsi="Times New Roman" w:cs="Times New Roman"/>
          <w:color w:val="000000" w:themeColor="text1"/>
          <w:sz w:val="24"/>
          <w:szCs w:val="24"/>
        </w:rPr>
      </w:pPr>
    </w:p>
    <w:p w14:paraId="6C5BA25D" w14:textId="77777777" w:rsidR="003E5C2F" w:rsidRDefault="003E5C2F" w:rsidP="003E5C2F">
      <w:pPr>
        <w:rPr>
          <w:rFonts w:ascii="Times New Roman" w:hAnsi="Times New Roman" w:cs="Times New Roman"/>
          <w:color w:val="000000" w:themeColor="text1"/>
          <w:sz w:val="24"/>
          <w:szCs w:val="24"/>
        </w:rPr>
      </w:pPr>
      <w:r w:rsidRPr="00B25680">
        <w:rPr>
          <w:rFonts w:ascii="Times New Roman" w:hAnsi="Times New Roman" w:cs="Times New Roman"/>
          <w:color w:val="000000" w:themeColor="text1"/>
          <w:sz w:val="24"/>
          <w:szCs w:val="24"/>
        </w:rPr>
        <w:t xml:space="preserve">Clause </w:t>
      </w:r>
      <w:r w:rsidRPr="00B25680">
        <w:rPr>
          <w:rFonts w:ascii="Times New Roman" w:hAnsi="Times New Roman" w:cs="Times New Roman"/>
          <w:i/>
          <w:iCs/>
          <w:color w:val="000000" w:themeColor="text1"/>
          <w:sz w:val="24"/>
          <w:szCs w:val="24"/>
        </w:rPr>
        <w:t>(a)</w:t>
      </w:r>
      <w:r w:rsidRPr="00B25680">
        <w:rPr>
          <w:rFonts w:ascii="Times New Roman" w:hAnsi="Times New Roman" w:cs="Times New Roman"/>
          <w:color w:val="000000" w:themeColor="text1"/>
          <w:sz w:val="24"/>
          <w:szCs w:val="24"/>
        </w:rPr>
        <w:t xml:space="preserve"> is amended and new clause </w:t>
      </w:r>
      <w:r w:rsidRPr="00B25680">
        <w:rPr>
          <w:rFonts w:ascii="Times New Roman" w:hAnsi="Times New Roman" w:cs="Times New Roman"/>
          <w:i/>
          <w:iCs/>
          <w:color w:val="000000" w:themeColor="text1"/>
          <w:sz w:val="24"/>
          <w:szCs w:val="24"/>
        </w:rPr>
        <w:t>(b)</w:t>
      </w:r>
      <w:r w:rsidRPr="00B25680">
        <w:rPr>
          <w:rFonts w:ascii="Times New Roman" w:hAnsi="Times New Roman" w:cs="Times New Roman"/>
          <w:color w:val="000000" w:themeColor="text1"/>
          <w:sz w:val="24"/>
          <w:szCs w:val="24"/>
        </w:rPr>
        <w:t xml:space="preserve"> is added to subparagraph (</w:t>
      </w:r>
      <w:proofErr w:type="spellStart"/>
      <w:r w:rsidRPr="00B25680">
        <w:rPr>
          <w:rFonts w:ascii="Times New Roman" w:hAnsi="Times New Roman" w:cs="Times New Roman"/>
          <w:color w:val="000000" w:themeColor="text1"/>
          <w:sz w:val="24"/>
          <w:szCs w:val="24"/>
        </w:rPr>
        <w:t>i</w:t>
      </w:r>
      <w:proofErr w:type="spellEnd"/>
      <w:r w:rsidRPr="00B25680">
        <w:rPr>
          <w:rFonts w:ascii="Times New Roman" w:hAnsi="Times New Roman" w:cs="Times New Roman"/>
          <w:color w:val="000000" w:themeColor="text1"/>
          <w:sz w:val="24"/>
          <w:szCs w:val="24"/>
        </w:rPr>
        <w:t>) of paragraph (1) of subdivision (e) of section 938.3 to read as follows:</w:t>
      </w:r>
    </w:p>
    <w:p w14:paraId="1270AFC4" w14:textId="77777777" w:rsidR="00B25680" w:rsidRPr="00B25680" w:rsidRDefault="00B25680" w:rsidP="003E5C2F">
      <w:pPr>
        <w:rPr>
          <w:rFonts w:ascii="Times New Roman" w:hAnsi="Times New Roman" w:cs="Times New Roman"/>
          <w:color w:val="000000" w:themeColor="text1"/>
          <w:sz w:val="24"/>
          <w:szCs w:val="24"/>
        </w:rPr>
      </w:pPr>
    </w:p>
    <w:p w14:paraId="0813ADED" w14:textId="77777777" w:rsidR="003E5C2F" w:rsidRPr="00B25680" w:rsidRDefault="003E5C2F" w:rsidP="003E5C2F">
      <w:pPr>
        <w:tabs>
          <w:tab w:val="left" w:pos="1560"/>
        </w:tabs>
        <w:spacing w:before="218" w:line="480" w:lineRule="auto"/>
        <w:ind w:right="116"/>
        <w:rPr>
          <w:rFonts w:ascii="Times New Roman" w:hAnsi="Times New Roman" w:cs="Times New Roman"/>
          <w:color w:val="000000" w:themeColor="text1"/>
          <w:sz w:val="24"/>
          <w:szCs w:val="24"/>
        </w:rPr>
      </w:pPr>
      <w:r w:rsidRPr="00B25680">
        <w:rPr>
          <w:rFonts w:ascii="Times New Roman" w:hAnsi="Times New Roman" w:cs="Times New Roman"/>
          <w:i/>
          <w:iCs/>
          <w:color w:val="000000" w:themeColor="text1"/>
          <w:sz w:val="24"/>
          <w:szCs w:val="24"/>
        </w:rPr>
        <w:t>(a)</w:t>
      </w:r>
      <w:r w:rsidRPr="00B25680">
        <w:rPr>
          <w:rFonts w:ascii="Times New Roman" w:hAnsi="Times New Roman" w:cs="Times New Roman"/>
          <w:color w:val="000000" w:themeColor="text1"/>
          <w:sz w:val="24"/>
          <w:szCs w:val="24"/>
        </w:rPr>
        <w:t xml:space="preserve"> A disclosure that identifies an intermediary or any other entity that obscures the name of the person, corporation, partnership, organization, or entity actually making the Contribution, does not qualify as the</w:t>
      </w:r>
      <w:r w:rsidRPr="00B25680">
        <w:rPr>
          <w:rFonts w:ascii="Times New Roman" w:hAnsi="Times New Roman" w:cs="Times New Roman"/>
          <w:color w:val="000000" w:themeColor="text1"/>
          <w:spacing w:val="-10"/>
          <w:sz w:val="24"/>
          <w:szCs w:val="24"/>
        </w:rPr>
        <w:t xml:space="preserve"> </w:t>
      </w:r>
      <w:r w:rsidRPr="00B25680">
        <w:rPr>
          <w:rFonts w:ascii="Times New Roman" w:hAnsi="Times New Roman" w:cs="Times New Roman"/>
          <w:color w:val="000000" w:themeColor="text1"/>
          <w:sz w:val="24"/>
          <w:szCs w:val="24"/>
        </w:rPr>
        <w:t xml:space="preserve">Source; </w:t>
      </w:r>
      <w:r w:rsidRPr="00B25680">
        <w:rPr>
          <w:rFonts w:ascii="Times New Roman" w:hAnsi="Times New Roman" w:cs="Times New Roman"/>
          <w:color w:val="000000" w:themeColor="text1"/>
          <w:sz w:val="24"/>
          <w:szCs w:val="24"/>
          <w:u w:val="single"/>
        </w:rPr>
        <w:t>and</w:t>
      </w:r>
    </w:p>
    <w:p w14:paraId="760407A7" w14:textId="77777777" w:rsidR="003E5C2F" w:rsidRPr="00B25680" w:rsidRDefault="003E5C2F" w:rsidP="003E5C2F">
      <w:pPr>
        <w:tabs>
          <w:tab w:val="left" w:pos="1560"/>
        </w:tabs>
        <w:spacing w:before="218" w:line="480" w:lineRule="auto"/>
        <w:ind w:right="116"/>
        <w:rPr>
          <w:rFonts w:ascii="Times New Roman" w:hAnsi="Times New Roman" w:cs="Times New Roman"/>
          <w:color w:val="000000" w:themeColor="text1"/>
          <w:sz w:val="24"/>
          <w:szCs w:val="24"/>
        </w:rPr>
      </w:pPr>
      <w:r w:rsidRPr="00B25680">
        <w:rPr>
          <w:rFonts w:ascii="Times New Roman" w:hAnsi="Times New Roman" w:cs="Times New Roman"/>
          <w:i/>
          <w:iCs/>
          <w:color w:val="000000" w:themeColor="text1"/>
          <w:sz w:val="24"/>
          <w:szCs w:val="24"/>
        </w:rPr>
        <w:t>(b)</w:t>
      </w:r>
      <w:r w:rsidRPr="00B25680">
        <w:rPr>
          <w:rFonts w:ascii="Times New Roman" w:hAnsi="Times New Roman" w:cs="Times New Roman"/>
          <w:color w:val="000000" w:themeColor="text1"/>
          <w:sz w:val="24"/>
          <w:szCs w:val="24"/>
        </w:rPr>
        <w:t xml:space="preserve"> </w:t>
      </w:r>
      <w:r w:rsidRPr="00B25680">
        <w:rPr>
          <w:rFonts w:ascii="Times New Roman" w:hAnsi="Times New Roman" w:cs="Times New Roman"/>
          <w:color w:val="000000" w:themeColor="text1"/>
          <w:sz w:val="24"/>
          <w:szCs w:val="24"/>
          <w:u w:val="single"/>
        </w:rPr>
        <w:t>The name of a Source cannot be reported as “anonymous” unless the Client Filer affirms to the Commission that the Client Filer is not able to determine the identity of the Source.</w:t>
      </w:r>
    </w:p>
    <w:p w14:paraId="13A69878" w14:textId="032848F8" w:rsidR="003E5C2F" w:rsidRDefault="003E5C2F" w:rsidP="003E5C2F">
      <w:pPr>
        <w:rPr>
          <w:rFonts w:ascii="Times New Roman" w:hAnsi="Times New Roman" w:cs="Times New Roman"/>
          <w:color w:val="000000" w:themeColor="text1"/>
          <w:sz w:val="24"/>
          <w:szCs w:val="24"/>
        </w:rPr>
      </w:pPr>
    </w:p>
    <w:p w14:paraId="76696274" w14:textId="77777777" w:rsidR="00BA3190" w:rsidRDefault="00BA3190" w:rsidP="00BA319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Subdivision (f) of section 938.3 is repealed and current subdivision (g) is re-lettered (f) to read as follows: </w:t>
      </w:r>
    </w:p>
    <w:p w14:paraId="353084EA" w14:textId="2C3FD8F6" w:rsidR="00BA3190" w:rsidRPr="006474B1" w:rsidRDefault="00BA3190" w:rsidP="00BA3190">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w:t>
      </w:r>
      <w:r w:rsidRPr="00BA3190">
        <w:rPr>
          <w:rFonts w:ascii="Times New Roman" w:hAnsi="Times New Roman" w:cs="Times New Roman"/>
          <w:color w:val="000000" w:themeColor="text1"/>
          <w:sz w:val="24"/>
          <w:szCs w:val="24"/>
        </w:rPr>
        <w:t>f) [</w:t>
      </w:r>
      <w:r w:rsidRPr="006474B1">
        <w:rPr>
          <w:rFonts w:ascii="Times New Roman" w:hAnsi="Times New Roman" w:cs="Times New Roman"/>
          <w:sz w:val="24"/>
          <w:szCs w:val="24"/>
        </w:rPr>
        <w:t>Notwithstanding subsections 938.2(b)(1) and 943.9(h)(1) and (3) of this Title, a Coalition</w:t>
      </w:r>
      <w:r w:rsidRPr="006474B1">
        <w:rPr>
          <w:rFonts w:ascii="Times New Roman" w:hAnsi="Times New Roman" w:cs="Times New Roman"/>
          <w:spacing w:val="-42"/>
          <w:sz w:val="24"/>
          <w:szCs w:val="24"/>
        </w:rPr>
        <w:t xml:space="preserve"> </w:t>
      </w:r>
      <w:r w:rsidR="005B4627">
        <w:rPr>
          <w:rFonts w:ascii="Times New Roman" w:hAnsi="Times New Roman" w:cs="Times New Roman"/>
          <w:spacing w:val="-42"/>
          <w:sz w:val="24"/>
          <w:szCs w:val="24"/>
        </w:rPr>
        <w:t xml:space="preserve"> </w:t>
      </w:r>
      <w:bookmarkStart w:id="0" w:name="_GoBack"/>
      <w:bookmarkEnd w:id="0"/>
      <w:r w:rsidRPr="006474B1">
        <w:rPr>
          <w:rFonts w:ascii="Times New Roman" w:hAnsi="Times New Roman" w:cs="Times New Roman"/>
          <w:sz w:val="24"/>
          <w:szCs w:val="24"/>
        </w:rPr>
        <w:t>that files its own Client Semi-Annual Report pursuant to subsection 943.9(h)(3)(ii) shall nevertheless be required to disclose its own Sources pursuant to this section if the Coalition reaches the Expenditure</w:t>
      </w:r>
      <w:r w:rsidRPr="006474B1">
        <w:rPr>
          <w:rFonts w:ascii="Times New Roman" w:hAnsi="Times New Roman" w:cs="Times New Roman"/>
          <w:spacing w:val="-1"/>
          <w:sz w:val="24"/>
          <w:szCs w:val="24"/>
        </w:rPr>
        <w:t xml:space="preserve"> </w:t>
      </w:r>
      <w:r w:rsidRPr="006474B1">
        <w:rPr>
          <w:rFonts w:ascii="Times New Roman" w:hAnsi="Times New Roman" w:cs="Times New Roman"/>
          <w:sz w:val="24"/>
          <w:szCs w:val="24"/>
        </w:rPr>
        <w:t xml:space="preserve">Threshold. </w:t>
      </w:r>
    </w:p>
    <w:p w14:paraId="6BB94CC7" w14:textId="77777777" w:rsidR="00BA3190" w:rsidRDefault="00BA3190" w:rsidP="00BA3190">
      <w:pPr>
        <w:pStyle w:val="ListParagraph"/>
        <w:tabs>
          <w:tab w:val="left" w:pos="480"/>
        </w:tabs>
        <w:spacing w:before="79" w:line="480" w:lineRule="auto"/>
        <w:ind w:left="479" w:right="113"/>
      </w:pPr>
      <w:r w:rsidRPr="006474B1">
        <w:rPr>
          <w:sz w:val="24"/>
          <w:szCs w:val="24"/>
        </w:rPr>
        <w:t>(g)]</w:t>
      </w:r>
      <w:r w:rsidRPr="00BA3190">
        <w:rPr>
          <w:sz w:val="24"/>
          <w:szCs w:val="24"/>
        </w:rPr>
        <w:t xml:space="preserve"> Pursuant to sections 1-h(c)(4) and 1-j(c)(4) of the Lobbying Act, source of funding disclosure shall not apply to any corporation registered pursuant to</w:t>
      </w:r>
      <w:r w:rsidRPr="00BA3190">
        <w:rPr>
          <w:spacing w:val="27"/>
          <w:sz w:val="24"/>
          <w:szCs w:val="24"/>
        </w:rPr>
        <w:t xml:space="preserve"> </w:t>
      </w:r>
      <w:r w:rsidRPr="00BA3190">
        <w:rPr>
          <w:sz w:val="24"/>
          <w:szCs w:val="24"/>
        </w:rPr>
        <w:t xml:space="preserve">article seven-A of the </w:t>
      </w:r>
      <w:r w:rsidRPr="00BA3190">
        <w:rPr>
          <w:sz w:val="24"/>
          <w:szCs w:val="24"/>
        </w:rPr>
        <w:lastRenderedPageBreak/>
        <w:t>executive law that is qualified as an exempt organization by the United States</w:t>
      </w:r>
      <w:r>
        <w:t xml:space="preserve"> Department of the Treasury under</w:t>
      </w:r>
      <w:r w:rsidRPr="00DB31FE">
        <w:rPr>
          <w:spacing w:val="-3"/>
        </w:rPr>
        <w:t xml:space="preserve"> </w:t>
      </w:r>
      <w:r>
        <w:t>I.R.C.</w:t>
      </w:r>
      <w:r w:rsidRPr="00DB31FE">
        <w:rPr>
          <w:spacing w:val="-4"/>
        </w:rPr>
        <w:t xml:space="preserve"> </w:t>
      </w:r>
      <w:r>
        <w:t>§</w:t>
      </w:r>
      <w:r w:rsidRPr="00DB31FE">
        <w:rPr>
          <w:spacing w:val="-6"/>
        </w:rPr>
        <w:t xml:space="preserve"> </w:t>
      </w:r>
      <w:r>
        <w:t>501(c)(3)</w:t>
      </w:r>
      <w:r w:rsidRPr="00DB31FE">
        <w:rPr>
          <w:spacing w:val="-5"/>
        </w:rPr>
        <w:t xml:space="preserve"> </w:t>
      </w:r>
      <w:r>
        <w:t>(a</w:t>
      </w:r>
      <w:r w:rsidRPr="00DB31FE">
        <w:rPr>
          <w:spacing w:val="-7"/>
        </w:rPr>
        <w:t xml:space="preserve"> </w:t>
      </w:r>
      <w:r>
        <w:t>“501(c)(3)”);</w:t>
      </w:r>
    </w:p>
    <w:p w14:paraId="55DCDE89" w14:textId="4E722958" w:rsidR="00BA3190" w:rsidRDefault="00BA3190" w:rsidP="00BA3190">
      <w:pPr>
        <w:pStyle w:val="ListParagraph"/>
        <w:tabs>
          <w:tab w:val="left" w:pos="480"/>
        </w:tabs>
        <w:spacing w:before="79" w:line="480" w:lineRule="auto"/>
        <w:ind w:left="479" w:right="113"/>
        <w:jc w:val="center"/>
      </w:pPr>
      <w:r>
        <w:t>*</w:t>
      </w:r>
      <w:r>
        <w:tab/>
      </w:r>
      <w:r>
        <w:tab/>
      </w:r>
      <w:r>
        <w:tab/>
        <w:t>*</w:t>
      </w:r>
      <w:r>
        <w:tab/>
      </w:r>
      <w:r>
        <w:tab/>
        <w:t>*</w:t>
      </w:r>
    </w:p>
    <w:p w14:paraId="686314CB" w14:textId="2B982A8A" w:rsidR="00BA3190" w:rsidRPr="00B25680" w:rsidRDefault="00BA3190" w:rsidP="003E5C2F">
      <w:pPr>
        <w:rPr>
          <w:rFonts w:ascii="Times New Roman" w:hAnsi="Times New Roman" w:cs="Times New Roman"/>
          <w:color w:val="000000" w:themeColor="text1"/>
          <w:sz w:val="24"/>
          <w:szCs w:val="24"/>
        </w:rPr>
      </w:pPr>
    </w:p>
    <w:p w14:paraId="7933DE60" w14:textId="77777777" w:rsidR="00A75B26" w:rsidRPr="00B25680" w:rsidRDefault="00A75B26" w:rsidP="00A75B26">
      <w:pPr>
        <w:rPr>
          <w:rFonts w:ascii="Times New Roman" w:hAnsi="Times New Roman" w:cs="Times New Roman"/>
          <w:color w:val="000000" w:themeColor="text1"/>
          <w:sz w:val="24"/>
          <w:szCs w:val="24"/>
        </w:rPr>
      </w:pPr>
    </w:p>
    <w:p w14:paraId="55E6FE36" w14:textId="77777777" w:rsidR="00A75B26" w:rsidRPr="00B25680" w:rsidRDefault="00A75B26">
      <w:pPr>
        <w:rPr>
          <w:rFonts w:ascii="Times New Roman" w:hAnsi="Times New Roman" w:cs="Times New Roman"/>
          <w:color w:val="000000" w:themeColor="text1"/>
          <w:sz w:val="24"/>
          <w:szCs w:val="24"/>
        </w:rPr>
      </w:pPr>
    </w:p>
    <w:sectPr w:rsidR="00A75B26" w:rsidRPr="00B2568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8096" w16cex:dateUtc="2020-06-04T18:15:00Z"/>
  <w16cex:commentExtensible w16cex:durableId="2283829E" w16cex:dateUtc="2020-06-04T18: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32CFA"/>
    <w:multiLevelType w:val="hybridMultilevel"/>
    <w:tmpl w:val="45D80286"/>
    <w:lvl w:ilvl="0" w:tplc="DDC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91A37"/>
    <w:multiLevelType w:val="hybridMultilevel"/>
    <w:tmpl w:val="B16AA424"/>
    <w:lvl w:ilvl="0" w:tplc="7BA03792">
      <w:start w:val="1"/>
      <w:numFmt w:val="lowerLetter"/>
      <w:lvlText w:val="(%1)"/>
      <w:lvlJc w:val="left"/>
      <w:pPr>
        <w:ind w:left="443" w:hanging="324"/>
        <w:jc w:val="right"/>
      </w:pPr>
      <w:rPr>
        <w:rFonts w:ascii="Times New Roman" w:eastAsia="Times New Roman" w:hAnsi="Times New Roman" w:cs="Times New Roman" w:hint="default"/>
        <w:spacing w:val="-1"/>
        <w:w w:val="99"/>
        <w:sz w:val="24"/>
        <w:szCs w:val="24"/>
        <w:lang w:val="en-US" w:eastAsia="en-US" w:bidi="en-US"/>
      </w:rPr>
    </w:lvl>
    <w:lvl w:ilvl="1" w:tplc="5FB8A70C">
      <w:start w:val="1"/>
      <w:numFmt w:val="decimal"/>
      <w:lvlText w:val="(%2)"/>
      <w:lvlJc w:val="left"/>
      <w:pPr>
        <w:ind w:left="480" w:hanging="389"/>
      </w:pPr>
      <w:rPr>
        <w:rFonts w:ascii="Times New Roman" w:eastAsia="Times New Roman" w:hAnsi="Times New Roman" w:cs="Times New Roman" w:hint="default"/>
        <w:spacing w:val="-11"/>
        <w:w w:val="99"/>
        <w:sz w:val="24"/>
        <w:szCs w:val="24"/>
        <w:lang w:val="en-US" w:eastAsia="en-US" w:bidi="en-US"/>
      </w:rPr>
    </w:lvl>
    <w:lvl w:ilvl="2" w:tplc="1B284BA6">
      <w:numFmt w:val="bullet"/>
      <w:lvlText w:val="•"/>
      <w:lvlJc w:val="left"/>
      <w:pPr>
        <w:ind w:left="820" w:hanging="389"/>
      </w:pPr>
      <w:rPr>
        <w:rFonts w:hint="default"/>
        <w:lang w:val="en-US" w:eastAsia="en-US" w:bidi="en-US"/>
      </w:rPr>
    </w:lvl>
    <w:lvl w:ilvl="3" w:tplc="A56220A6">
      <w:numFmt w:val="bullet"/>
      <w:lvlText w:val="•"/>
      <w:lvlJc w:val="left"/>
      <w:pPr>
        <w:ind w:left="1917" w:hanging="389"/>
      </w:pPr>
      <w:rPr>
        <w:rFonts w:hint="default"/>
        <w:lang w:val="en-US" w:eastAsia="en-US" w:bidi="en-US"/>
      </w:rPr>
    </w:lvl>
    <w:lvl w:ilvl="4" w:tplc="D7CC51C2">
      <w:numFmt w:val="bullet"/>
      <w:lvlText w:val="•"/>
      <w:lvlJc w:val="left"/>
      <w:pPr>
        <w:ind w:left="3015" w:hanging="389"/>
      </w:pPr>
      <w:rPr>
        <w:rFonts w:hint="default"/>
        <w:lang w:val="en-US" w:eastAsia="en-US" w:bidi="en-US"/>
      </w:rPr>
    </w:lvl>
    <w:lvl w:ilvl="5" w:tplc="D9C890E2">
      <w:numFmt w:val="bullet"/>
      <w:lvlText w:val="•"/>
      <w:lvlJc w:val="left"/>
      <w:pPr>
        <w:ind w:left="4112" w:hanging="389"/>
      </w:pPr>
      <w:rPr>
        <w:rFonts w:hint="default"/>
        <w:lang w:val="en-US" w:eastAsia="en-US" w:bidi="en-US"/>
      </w:rPr>
    </w:lvl>
    <w:lvl w:ilvl="6" w:tplc="BE68118C">
      <w:numFmt w:val="bullet"/>
      <w:lvlText w:val="•"/>
      <w:lvlJc w:val="left"/>
      <w:pPr>
        <w:ind w:left="5210" w:hanging="389"/>
      </w:pPr>
      <w:rPr>
        <w:rFonts w:hint="default"/>
        <w:lang w:val="en-US" w:eastAsia="en-US" w:bidi="en-US"/>
      </w:rPr>
    </w:lvl>
    <w:lvl w:ilvl="7" w:tplc="77F20312">
      <w:numFmt w:val="bullet"/>
      <w:lvlText w:val="•"/>
      <w:lvlJc w:val="left"/>
      <w:pPr>
        <w:ind w:left="6307" w:hanging="389"/>
      </w:pPr>
      <w:rPr>
        <w:rFonts w:hint="default"/>
        <w:lang w:val="en-US" w:eastAsia="en-US" w:bidi="en-US"/>
      </w:rPr>
    </w:lvl>
    <w:lvl w:ilvl="8" w:tplc="21E6C182">
      <w:numFmt w:val="bullet"/>
      <w:lvlText w:val="•"/>
      <w:lvlJc w:val="left"/>
      <w:pPr>
        <w:ind w:left="7405" w:hanging="389"/>
      </w:pPr>
      <w:rPr>
        <w:rFonts w:hint="default"/>
        <w:lang w:val="en-US" w:eastAsia="en-US" w:bidi="en-US"/>
      </w:rPr>
    </w:lvl>
  </w:abstractNum>
  <w:abstractNum w:abstractNumId="2" w15:restartNumberingAfterBreak="0">
    <w:nsid w:val="5676297D"/>
    <w:multiLevelType w:val="hybridMultilevel"/>
    <w:tmpl w:val="95D8FF7A"/>
    <w:lvl w:ilvl="0" w:tplc="87E4D6B6">
      <w:start w:val="1"/>
      <w:numFmt w:val="lowerLetter"/>
      <w:lvlText w:val="(%1)"/>
      <w:lvlJc w:val="left"/>
      <w:pPr>
        <w:ind w:left="120" w:hanging="356"/>
      </w:pPr>
      <w:rPr>
        <w:rFonts w:ascii="Times New Roman" w:eastAsia="Times New Roman" w:hAnsi="Times New Roman" w:cs="Times New Roman" w:hint="default"/>
        <w:spacing w:val="-30"/>
        <w:w w:val="99"/>
        <w:sz w:val="24"/>
        <w:szCs w:val="24"/>
        <w:lang w:val="en-US" w:eastAsia="en-US" w:bidi="en-US"/>
      </w:rPr>
    </w:lvl>
    <w:lvl w:ilvl="1" w:tplc="BB3A3A6A">
      <w:start w:val="1"/>
      <w:numFmt w:val="decimal"/>
      <w:lvlText w:val="(%2)"/>
      <w:lvlJc w:val="left"/>
      <w:pPr>
        <w:ind w:left="480" w:hanging="353"/>
      </w:pPr>
      <w:rPr>
        <w:rFonts w:ascii="Times New Roman" w:eastAsia="Times New Roman" w:hAnsi="Times New Roman" w:cs="Times New Roman" w:hint="default"/>
        <w:spacing w:val="-1"/>
        <w:w w:val="99"/>
        <w:sz w:val="24"/>
        <w:szCs w:val="24"/>
        <w:lang w:val="en-US" w:eastAsia="en-US" w:bidi="en-US"/>
      </w:rPr>
    </w:lvl>
    <w:lvl w:ilvl="2" w:tplc="80BC5010">
      <w:start w:val="1"/>
      <w:numFmt w:val="lowerRoman"/>
      <w:lvlText w:val="(%3)"/>
      <w:lvlJc w:val="left"/>
      <w:pPr>
        <w:ind w:left="1291" w:hanging="452"/>
      </w:pPr>
      <w:rPr>
        <w:rFonts w:ascii="Times New Roman" w:eastAsia="Times New Roman" w:hAnsi="Times New Roman" w:cs="Times New Roman" w:hint="default"/>
        <w:spacing w:val="-16"/>
        <w:w w:val="99"/>
        <w:sz w:val="24"/>
        <w:szCs w:val="24"/>
        <w:lang w:val="en-US" w:eastAsia="en-US" w:bidi="en-US"/>
      </w:rPr>
    </w:lvl>
    <w:lvl w:ilvl="3" w:tplc="CA7C7092">
      <w:start w:val="1"/>
      <w:numFmt w:val="lowerLetter"/>
      <w:lvlText w:val="(%4)"/>
      <w:lvlJc w:val="left"/>
      <w:pPr>
        <w:ind w:left="1560" w:hanging="360"/>
      </w:pPr>
      <w:rPr>
        <w:rFonts w:ascii="Times New Roman" w:eastAsia="Times New Roman" w:hAnsi="Times New Roman" w:cs="Times New Roman" w:hint="default"/>
        <w:i/>
        <w:spacing w:val="-4"/>
        <w:w w:val="99"/>
        <w:sz w:val="24"/>
        <w:szCs w:val="24"/>
        <w:lang w:val="en-US" w:eastAsia="en-US" w:bidi="en-US"/>
      </w:rPr>
    </w:lvl>
    <w:lvl w:ilvl="4" w:tplc="F91C5BCA">
      <w:numFmt w:val="bullet"/>
      <w:lvlText w:val="•"/>
      <w:lvlJc w:val="left"/>
      <w:pPr>
        <w:ind w:left="1300" w:hanging="360"/>
      </w:pPr>
      <w:rPr>
        <w:rFonts w:hint="default"/>
        <w:lang w:val="en-US" w:eastAsia="en-US" w:bidi="en-US"/>
      </w:rPr>
    </w:lvl>
    <w:lvl w:ilvl="5" w:tplc="AB24228A">
      <w:numFmt w:val="bullet"/>
      <w:lvlText w:val="•"/>
      <w:lvlJc w:val="left"/>
      <w:pPr>
        <w:ind w:left="1560" w:hanging="360"/>
      </w:pPr>
      <w:rPr>
        <w:rFonts w:hint="default"/>
        <w:lang w:val="en-US" w:eastAsia="en-US" w:bidi="en-US"/>
      </w:rPr>
    </w:lvl>
    <w:lvl w:ilvl="6" w:tplc="597415E8">
      <w:numFmt w:val="bullet"/>
      <w:lvlText w:val="•"/>
      <w:lvlJc w:val="left"/>
      <w:pPr>
        <w:ind w:left="3168" w:hanging="360"/>
      </w:pPr>
      <w:rPr>
        <w:rFonts w:hint="default"/>
        <w:lang w:val="en-US" w:eastAsia="en-US" w:bidi="en-US"/>
      </w:rPr>
    </w:lvl>
    <w:lvl w:ilvl="7" w:tplc="DB143764">
      <w:numFmt w:val="bullet"/>
      <w:lvlText w:val="•"/>
      <w:lvlJc w:val="left"/>
      <w:pPr>
        <w:ind w:left="4776" w:hanging="360"/>
      </w:pPr>
      <w:rPr>
        <w:rFonts w:hint="default"/>
        <w:lang w:val="en-US" w:eastAsia="en-US" w:bidi="en-US"/>
      </w:rPr>
    </w:lvl>
    <w:lvl w:ilvl="8" w:tplc="3F805AF4">
      <w:numFmt w:val="bullet"/>
      <w:lvlText w:val="•"/>
      <w:lvlJc w:val="left"/>
      <w:pPr>
        <w:ind w:left="6384"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26"/>
    <w:rsid w:val="00200BBF"/>
    <w:rsid w:val="003E5C2F"/>
    <w:rsid w:val="005B4627"/>
    <w:rsid w:val="006307DF"/>
    <w:rsid w:val="006472DF"/>
    <w:rsid w:val="006474B1"/>
    <w:rsid w:val="006708F5"/>
    <w:rsid w:val="006D0DAB"/>
    <w:rsid w:val="007F01FD"/>
    <w:rsid w:val="00A75B26"/>
    <w:rsid w:val="00B14788"/>
    <w:rsid w:val="00B25680"/>
    <w:rsid w:val="00BA3190"/>
    <w:rsid w:val="00D46312"/>
    <w:rsid w:val="00EB3A68"/>
    <w:rsid w:val="00E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372D"/>
  <w15:chartTrackingRefBased/>
  <w15:docId w15:val="{6AD0A7EB-F334-44E0-A512-9BDB5BE7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75B26"/>
    <w:pPr>
      <w:widowControl w:val="0"/>
      <w:autoSpaceDE w:val="0"/>
      <w:autoSpaceDN w:val="0"/>
      <w:spacing w:after="0" w:line="240" w:lineRule="auto"/>
      <w:ind w:left="119"/>
      <w:jc w:val="both"/>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25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80"/>
    <w:rPr>
      <w:rFonts w:ascii="Segoe UI" w:hAnsi="Segoe UI" w:cs="Segoe UI"/>
      <w:sz w:val="18"/>
      <w:szCs w:val="18"/>
    </w:rPr>
  </w:style>
  <w:style w:type="character" w:styleId="CommentReference">
    <w:name w:val="annotation reference"/>
    <w:basedOn w:val="DefaultParagraphFont"/>
    <w:uiPriority w:val="99"/>
    <w:semiHidden/>
    <w:unhideWhenUsed/>
    <w:rsid w:val="006D0DAB"/>
    <w:rPr>
      <w:sz w:val="16"/>
      <w:szCs w:val="16"/>
    </w:rPr>
  </w:style>
  <w:style w:type="paragraph" w:styleId="CommentText">
    <w:name w:val="annotation text"/>
    <w:basedOn w:val="Normal"/>
    <w:link w:val="CommentTextChar"/>
    <w:uiPriority w:val="99"/>
    <w:semiHidden/>
    <w:unhideWhenUsed/>
    <w:rsid w:val="006D0DAB"/>
    <w:pPr>
      <w:spacing w:line="240" w:lineRule="auto"/>
    </w:pPr>
    <w:rPr>
      <w:sz w:val="20"/>
      <w:szCs w:val="20"/>
    </w:rPr>
  </w:style>
  <w:style w:type="character" w:customStyle="1" w:styleId="CommentTextChar">
    <w:name w:val="Comment Text Char"/>
    <w:basedOn w:val="DefaultParagraphFont"/>
    <w:link w:val="CommentText"/>
    <w:uiPriority w:val="99"/>
    <w:semiHidden/>
    <w:rsid w:val="006D0DAB"/>
    <w:rPr>
      <w:sz w:val="20"/>
      <w:szCs w:val="20"/>
    </w:rPr>
  </w:style>
  <w:style w:type="paragraph" w:styleId="CommentSubject">
    <w:name w:val="annotation subject"/>
    <w:basedOn w:val="CommentText"/>
    <w:next w:val="CommentText"/>
    <w:link w:val="CommentSubjectChar"/>
    <w:uiPriority w:val="99"/>
    <w:semiHidden/>
    <w:unhideWhenUsed/>
    <w:rsid w:val="006D0DAB"/>
    <w:rPr>
      <w:b/>
      <w:bCs/>
    </w:rPr>
  </w:style>
  <w:style w:type="character" w:customStyle="1" w:styleId="CommentSubjectChar">
    <w:name w:val="Comment Subject Char"/>
    <w:basedOn w:val="CommentTextChar"/>
    <w:link w:val="CommentSubject"/>
    <w:uiPriority w:val="99"/>
    <w:semiHidden/>
    <w:rsid w:val="006D0D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C09D0946B880488EBB8DFEB3ADAA81" ma:contentTypeVersion="9" ma:contentTypeDescription="Create a new document." ma:contentTypeScope="" ma:versionID="196d1a55ed30dd9a35234f3da0f09b79">
  <xsd:schema xmlns:xsd="http://www.w3.org/2001/XMLSchema" xmlns:xs="http://www.w3.org/2001/XMLSchema" xmlns:p="http://schemas.microsoft.com/office/2006/metadata/properties" xmlns:ns3="0f70fea5-160e-4a5b-9889-fbcd275d8b24" xmlns:ns4="ed583742-2524-45de-85e6-cb01b33847fc" targetNamespace="http://schemas.microsoft.com/office/2006/metadata/properties" ma:root="true" ma:fieldsID="5a8ba97cdc916f89d7c191698a2eac39" ns3:_="" ns4:_="">
    <xsd:import namespace="0f70fea5-160e-4a5b-9889-fbcd275d8b24"/>
    <xsd:import namespace="ed583742-2524-45de-85e6-cb01b3384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fea5-160e-4a5b-9889-fbcd275d8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83742-2524-45de-85e6-cb01b3384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E7460-3AA9-4335-B775-C5AF0D70B4D2}">
  <ds:schemaRefs>
    <ds:schemaRef ds:uri="http://schemas.microsoft.com/sharepoint/v3/contenttype/forms"/>
  </ds:schemaRefs>
</ds:datastoreItem>
</file>

<file path=customXml/itemProps2.xml><?xml version="1.0" encoding="utf-8"?>
<ds:datastoreItem xmlns:ds="http://schemas.openxmlformats.org/officeDocument/2006/customXml" ds:itemID="{A4802047-B07E-4F7E-A7AA-6344C0333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fea5-160e-4a5b-9889-fbcd275d8b24"/>
    <ds:schemaRef ds:uri="ed583742-2524-45de-85e6-cb01b338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F470E-388B-48E7-ACE9-F5D1D1CB302D}">
  <ds:schemaRefs>
    <ds:schemaRef ds:uri="0f70fea5-160e-4a5b-9889-fbcd275d8b2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d583742-2524-45de-85e6-cb01b33847fc"/>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Mutolo</dc:creator>
  <cp:keywords/>
  <dc:description/>
  <cp:lastModifiedBy>Megan Mutolo</cp:lastModifiedBy>
  <cp:revision>5</cp:revision>
  <dcterms:created xsi:type="dcterms:W3CDTF">2020-10-19T17:37:00Z</dcterms:created>
  <dcterms:modified xsi:type="dcterms:W3CDTF">2020-10-27T11:51:00Z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0x010100E4C09D0946B880488EBB8DFEB3ADAA81</vt:lpwstr>
  </property>
</Properties>
</file>